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49"/>
        <w:gridCol w:w="1318"/>
        <w:gridCol w:w="1928"/>
        <w:gridCol w:w="3467"/>
      </w:tblGrid>
      <w:tr w:rsidR="0052624B" w:rsidRPr="0052624B" w:rsidTr="0052624B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52624B" w:rsidRPr="0052624B" w:rsidTr="0052624B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四川省救灾物资储备中心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成都市双流区西航港街道会缘路739号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储备管理中央和省级救灾物资，指导全省救灾物资的储备管理和使用工作，协助开展社会救灾物资募集和捐赠接收管理工作。</w:t>
            </w:r>
          </w:p>
        </w:tc>
      </w:tr>
      <w:tr w:rsidR="0052624B" w:rsidRPr="0052624B" w:rsidTr="0052624B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四川省粮食学校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成都市成华区青龙路638号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主要培养符合市场需求的中等专业技术及经营管理人才，同时开展粮食行业在职职工的技能培训工作。开设有粮油食品、会计营销、计算机信息、建筑机电、汽车质检、餐旅服务等多个专业类别，是教育部批准的首批公办国家级重点中等专业学校。</w:t>
            </w:r>
          </w:p>
        </w:tc>
      </w:tr>
      <w:tr w:rsidR="0052624B" w:rsidRPr="0052624B" w:rsidTr="0052624B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四川省粮食经济学校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全额拨款事业单位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ind w:left="158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四川省达州市达川区三里坪街85号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2624B" w:rsidRPr="0052624B" w:rsidRDefault="0052624B" w:rsidP="0052624B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52624B">
              <w:rPr>
                <w:rFonts w:ascii="宋体" w:eastAsia="宋体" w:hAnsi="宋体" w:cs="宋体" w:hint="eastAsia"/>
              </w:rPr>
              <w:t>主要培养现代经营管理、信息技术、电子商务和加工制造等实用技术及管理人才。开设有电子商务、数控技术应用、机电技术应用、计算机应用、电子技术应用、美术设计与制作、会计、汽车运用与维修、建筑工程施工等十个专业，系国家级重点中等职业学校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2624B"/>
    <w:rsid w:val="00323B43"/>
    <w:rsid w:val="003D37D8"/>
    <w:rsid w:val="004358AB"/>
    <w:rsid w:val="0052624B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2020-10-27T03:20:00Z</dcterms:created>
  <dcterms:modified xsi:type="dcterms:W3CDTF">2020-10-27T03:21:00Z</dcterms:modified>
</cp:coreProperties>
</file>